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4"/>
        <w:gridCol w:w="1764"/>
        <w:gridCol w:w="2000"/>
      </w:tblGrid>
      <w:tr w:rsidR="00083950" w:rsidRPr="005C309B" w:rsidTr="003A1C75">
        <w:trPr>
          <w:trHeight w:val="660"/>
          <w:jc w:val="center"/>
        </w:trPr>
        <w:tc>
          <w:tcPr>
            <w:tcW w:w="5784" w:type="dxa"/>
            <w:tcBorders>
              <w:top w:val="double" w:sz="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center"/>
              <w:rPr>
                <w:rFonts w:ascii="Century Gothic" w:eastAsia="Times New Roman" w:hAnsi="Century Gothic"/>
                <w:b/>
                <w:snapToGrid w:val="0"/>
                <w:sz w:val="20"/>
                <w:szCs w:val="20"/>
                <w:lang w:eastAsia="it-IT"/>
              </w:rPr>
            </w:pPr>
            <w:r w:rsidRPr="005C309B">
              <w:rPr>
                <w:rFonts w:ascii="Century Gothic" w:eastAsia="Arial" w:hAnsi="Century Gothic"/>
                <w:b/>
                <w:snapToGrid w:val="0"/>
                <w:sz w:val="20"/>
                <w:szCs w:val="20"/>
                <w:lang w:eastAsia="it-IT"/>
              </w:rPr>
              <w:t>Versamenti sospesi</w:t>
            </w:r>
          </w:p>
        </w:tc>
        <w:tc>
          <w:tcPr>
            <w:tcW w:w="1764" w:type="dxa"/>
            <w:tcBorders>
              <w:top w:val="double" w:sz="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center"/>
              <w:rPr>
                <w:rFonts w:ascii="Century Gothic" w:eastAsia="Times New Roman" w:hAnsi="Century Gothic"/>
                <w:b/>
                <w:snapToGrid w:val="0"/>
                <w:sz w:val="20"/>
                <w:szCs w:val="20"/>
                <w:lang w:eastAsia="it-IT"/>
              </w:rPr>
            </w:pPr>
            <w:r w:rsidRPr="005C309B">
              <w:rPr>
                <w:rFonts w:ascii="Century Gothic" w:eastAsia="Arial" w:hAnsi="Century Gothic"/>
                <w:b/>
                <w:snapToGrid w:val="0"/>
                <w:sz w:val="20"/>
                <w:szCs w:val="20"/>
                <w:lang w:eastAsia="it-IT"/>
              </w:rPr>
              <w:t>Vecchio termine di effettuazione</w:t>
            </w:r>
          </w:p>
        </w:tc>
        <w:tc>
          <w:tcPr>
            <w:tcW w:w="2000" w:type="dxa"/>
            <w:tcBorders>
              <w:top w:val="double" w:sz="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center"/>
              <w:rPr>
                <w:rFonts w:ascii="Century Gothic" w:eastAsia="Times New Roman" w:hAnsi="Century Gothic"/>
                <w:b/>
                <w:snapToGrid w:val="0"/>
                <w:sz w:val="20"/>
                <w:szCs w:val="20"/>
                <w:lang w:eastAsia="it-IT"/>
              </w:rPr>
            </w:pPr>
            <w:r w:rsidRPr="005C309B">
              <w:rPr>
                <w:rFonts w:ascii="Century Gothic" w:eastAsia="Arial" w:hAnsi="Century Gothic"/>
                <w:b/>
                <w:snapToGrid w:val="0"/>
                <w:sz w:val="20"/>
                <w:szCs w:val="20"/>
                <w:lang w:eastAsia="it-IT"/>
              </w:rPr>
              <w:t>Nuovo termine</w:t>
            </w:r>
            <w:r w:rsidRPr="005C309B">
              <w:rPr>
                <w:rFonts w:ascii="Century Gothic" w:eastAsia="Arial" w:hAnsi="Century Gothic"/>
                <w:b/>
                <w:snapToGrid w:val="0"/>
                <w:sz w:val="20"/>
                <w:szCs w:val="20"/>
                <w:lang w:eastAsia="it-IT"/>
              </w:rPr>
              <w:br/>
              <w:t>di effettuazione</w:t>
            </w:r>
          </w:p>
        </w:tc>
      </w:tr>
      <w:tr w:rsidR="00083950" w:rsidRPr="005C309B" w:rsidTr="003A1C75">
        <w:trPr>
          <w:jc w:val="center"/>
        </w:trPr>
        <w:tc>
          <w:tcPr>
            <w:tcW w:w="5784" w:type="dxa"/>
            <w:tcBorders>
              <w:top w:val="single" w:sz="2" w:space="0" w:color="000000"/>
            </w:tcBorders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Versamenti scadenti nei mesi di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marzo e aprile 2020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relativi alle ritenute sui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redditi di lavoro dipendente e assimilati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, ai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contributi previdenziali e assistenziali e ai premi INAIL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, nonché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versamenti IVA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scadenti nel mese di marzo 2020, da parte dei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 xml:space="preserve">soggetti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operanti nei settori maggiormente colpiti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 xml:space="preserve"> dall’emergenza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(es. soggetti che operano nel turismo, nella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risto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softHyphen/>
              <w:t>razione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>, nell’attività sportiva, nell’intrattenimento, nelle atti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vi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tà culturali, nei servizi di assistenza, nei trasporti, ecc.).</w:t>
            </w:r>
          </w:p>
        </w:tc>
        <w:tc>
          <w:tcPr>
            <w:tcW w:w="1764" w:type="dxa"/>
            <w:tcBorders>
              <w:top w:val="single" w:sz="2" w:space="0" w:color="000000"/>
            </w:tcBorders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31.5.2020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maggio 2020</w:t>
            </w:r>
          </w:p>
        </w:tc>
        <w:tc>
          <w:tcPr>
            <w:tcW w:w="2000" w:type="dxa"/>
            <w:tcBorders>
              <w:top w:val="single" w:sz="2" w:space="0" w:color="000000"/>
            </w:tcBorders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tire dal 16.9.2020</w:t>
            </w:r>
          </w:p>
        </w:tc>
      </w:tr>
      <w:tr w:rsidR="00083950" w:rsidRPr="005C309B" w:rsidTr="003A1C75">
        <w:trPr>
          <w:jc w:val="center"/>
        </w:trPr>
        <w:tc>
          <w:tcPr>
            <w:tcW w:w="578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Versamenti scadenti nel mese di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marzo 2020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relativi all’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IVA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, alle ritenute sui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redditi di lavoro dipendente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e assimilati, ai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con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softHyphen/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softHyphen/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softHyphen/>
              <w:t>tributi previdenziali e assistenziali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e ai premi INAIL, da par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softHyphen/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softHyphen/>
              <w:t xml:space="preserve">te dei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>soggetti esercenti attività d’impresa, arte o pro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 xml:space="preserve">fessione con ricavi o compensi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non superiori a 2 milioni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 di euro nel periodo d’imposta precedente a quello in corso al 17.3.2020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(2019, per i soggetti “solari”).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31.5.2020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maggio 2020</w:t>
            </w:r>
          </w:p>
        </w:tc>
        <w:tc>
          <w:tcPr>
            <w:tcW w:w="2000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  <w:tr w:rsidR="00083950" w:rsidRPr="005C309B" w:rsidTr="003A1C75">
        <w:trPr>
          <w:jc w:val="center"/>
        </w:trPr>
        <w:tc>
          <w:tcPr>
            <w:tcW w:w="578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Versamenti scadenti nei mesi di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aprile e maggio 2020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relativi all’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IVA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, alle ritenute sui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redditi di lavoro dipendente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e assimilati, ai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contributi previdenziali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e assistenziali e ai premi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INAIL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, da parte d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soggetti che hanno subito una diminuzione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 del fat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 xml:space="preserve">turato o dei corrispettivi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di almeno il 33%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(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soggetti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con ricavi o compensi 2019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fino a 50 milioni di euro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)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o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di almeno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>il 50%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(soggetti con ricavi o compensi 2019 superiori a 50 milioni di euro)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>nei mesi di marzo e aprile 2020 rispetto allo stesso me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se del 2019.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30.6.2020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giugno 2020</w:t>
            </w:r>
          </w:p>
        </w:tc>
        <w:tc>
          <w:tcPr>
            <w:tcW w:w="2000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tire dal 16.9.2020</w:t>
            </w:r>
          </w:p>
        </w:tc>
      </w:tr>
    </w:tbl>
    <w:p w:rsidR="00083950" w:rsidRPr="005C309B" w:rsidRDefault="00083950" w:rsidP="00083950">
      <w:pPr>
        <w:spacing w:after="0" w:line="240" w:lineRule="auto"/>
        <w:jc w:val="both"/>
        <w:rPr>
          <w:rFonts w:ascii="Century Gothic" w:eastAsia="Times New Roman" w:hAnsi="Century Gothic"/>
          <w:kern w:val="19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7"/>
        <w:gridCol w:w="1764"/>
        <w:gridCol w:w="2079"/>
      </w:tblGrid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Versamenti IVA</w:t>
            </w:r>
            <w:bookmarkStart w:id="0" w:name="_GoBack"/>
            <w:bookmarkEnd w:id="0"/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scadenti nel mese di marzo 2020, da parte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dei soggetti esercenti attività d’impresa, arte o professione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che hanno il domicilio fiscale, la sede legale o la sede operativa </w:t>
            </w:r>
            <w:r w:rsidRPr="005C309B">
              <w:rPr>
                <w:rFonts w:ascii="Century Gothic" w:eastAsia="Verdana" w:hAnsi="Century Gothic"/>
                <w:snapToGrid w:val="0"/>
                <w:sz w:val="18"/>
                <w:szCs w:val="18"/>
                <w:lang w:eastAsia="it-IT"/>
              </w:rPr>
              <w:t xml:space="preserve">nelle </w:t>
            </w:r>
            <w:r w:rsidRPr="005C309B">
              <w:rPr>
                <w:rFonts w:ascii="Century Gothic" w:eastAsia="Verdana" w:hAnsi="Century Gothic"/>
                <w:snapToGrid w:val="0"/>
                <w:sz w:val="18"/>
                <w:szCs w:val="18"/>
                <w:u w:val="single"/>
                <w:lang w:eastAsia="it-IT"/>
              </w:rPr>
              <w:t>Province di Bergamo, Brescia, Cremona, Lodi e Piacenza.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31.5.2020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maggio 2020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Versamenti IVA scadenti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nei mesi di aprile e maggio 2020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, da parte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dei soggetti esercenti attività d’impresa, arte o professione che hanno il domicilio fiscale, la sede legale o la sede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operativa </w:t>
            </w:r>
            <w:r w:rsidRPr="005C309B">
              <w:rPr>
                <w:rFonts w:ascii="Century Gothic" w:eastAsia="Verdana" w:hAnsi="Century Gothic"/>
                <w:snapToGrid w:val="0"/>
                <w:sz w:val="18"/>
                <w:szCs w:val="18"/>
                <w:lang w:eastAsia="it-IT"/>
              </w:rPr>
              <w:t xml:space="preserve">nelle </w:t>
            </w:r>
            <w:r w:rsidRPr="005C309B">
              <w:rPr>
                <w:rFonts w:ascii="Century Gothic" w:eastAsia="Verdana" w:hAnsi="Century Gothic"/>
                <w:snapToGrid w:val="0"/>
                <w:sz w:val="18"/>
                <w:szCs w:val="18"/>
                <w:u w:val="single"/>
                <w:lang w:eastAsia="it-IT"/>
              </w:rPr>
              <w:t>Province di Bergamo, Brescia, Cremona, Lodi e Piacenza</w:t>
            </w:r>
            <w:r w:rsidRPr="005C309B">
              <w:rPr>
                <w:rFonts w:ascii="Century Gothic" w:eastAsia="Verdana" w:hAnsi="Century Gothic"/>
                <w:snapToGrid w:val="0"/>
                <w:sz w:val="18"/>
                <w:szCs w:val="18"/>
                <w:lang w:eastAsia="it-IT"/>
              </w:rPr>
              <w:t xml:space="preserve"> 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che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 hanno subito una diminuzione del fatturato o dei corrispettivi di almeno il 33% nei mesi di marzo e aprile 2020 rispetto allo stesso mese del 2019.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30.6.2020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giugno 2020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Versamenti scadenti nei mesi di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aprile e maggio 2020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 xml:space="preserve"> relativi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eastAsia="it-IT"/>
              </w:rPr>
              <w:t>all’IVA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, alle ritenute sui redditi di lavoro dipendente e assimilati, ai contributi previdenziali e assistenziali e ai premi INAIL, da parte d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i soggetti che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hanno intrapreso l’attività di impresa, di arte o professione a partire dall’1.4.2019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30.6.2020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giugno 2020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Versamenti scadenti nei mesi di marzo, aprile e maggio 2020 relativi all’IVA, alle ritenute sui redditi di lavoro dipendente e assimilati, ai contributi previdenziali e assistenziali e ai premi INAIL, da parte delle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federazioni sportive nazionali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,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de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gli enti di promozione sportiva,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del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le associazioni 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del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>le società spor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tive, sia professionistiche che dilettantistiche.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30.6.2020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giugno 2020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Versamenti scadenti nel mese di giugno 2020 relativi all’IVA, alle ritenute sui redditi di lavoro dipendente e assimilati, ai con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softHyphen/>
              <w:t>tributi previdenziali e assistenziali e ai premi INAIL, da parte delle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u w:val="single"/>
                <w:lang w:val="" w:eastAsia="it-IT"/>
              </w:rPr>
              <w:t>federazioni sportive nazionali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,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de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gli enti di promozione sportiva,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del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 xml:space="preserve">le associazioni e 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del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t>le società sportive, sia profes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sio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nistiche che dilettantistiche.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1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eastAsia="it-IT"/>
              </w:rPr>
              <w:t>Versamenti scadenti nei mesi di aprile e maggio 2020 relativi alle ritenute sui redditi di lavoro dipendente e assimilati, ai con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eastAsia="it-IT"/>
              </w:rPr>
              <w:softHyphen/>
              <w:t>tributi previdenziali e assistenziali e ai premi INAIL, da par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eastAsia="it-IT"/>
              </w:rPr>
              <w:softHyphen/>
              <w:t xml:space="preserve">te 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t>de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softHyphen/>
              <w:t xml:space="preserve">gli 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lastRenderedPageBreak/>
              <w:t>enti non commerciali, compresi gli enti del Terzo set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softHyphen/>
              <w:t>tore e gli enti religiosi civilmente riconosciuti, che svolgono at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softHyphen/>
              <w:t>tività isti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softHyphen/>
              <w:t>tuzionale di interesse generale non in regime d’im-presa.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lastRenderedPageBreak/>
              <w:t>30.6.2020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 xml:space="preserve">mo 5 rate mensili 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lastRenderedPageBreak/>
              <w:t>di pari importo a partire da giugno 2020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lastRenderedPageBreak/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 xml:space="preserve">mo 4 rate mensili di pari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lastRenderedPageBreak/>
              <w:t>importo a partire dal 16.9.2020</w:t>
            </w:r>
          </w:p>
        </w:tc>
      </w:tr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lastRenderedPageBreak/>
              <w:t>Versamenti fiscali scadenti tra il 21.2.2020 e il 31.3.2020 nei confronti dei soggetti con domicilio fiscale, sede legale o sede operativa nei Comuni di Bertonico, Casalpusterlengo, Castel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ge</w:t>
            </w:r>
            <w:r w:rsidRPr="005C309B">
              <w:rPr>
                <w:rFonts w:ascii="Century Gothic" w:eastAsia="Arial" w:hAnsi="Century Gothic"/>
                <w:snapToGrid w:val="0"/>
                <w:sz w:val="18"/>
                <w:szCs w:val="18"/>
                <w:lang w:val="" w:eastAsia="it-IT"/>
              </w:rPr>
              <w:softHyphen/>
              <w:t>rundo, Castiglione D’Adda, Codogno, Fombio, Maleo, San Fiorano, Somaglia, Terranova dei Passerini e Vo’.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31.5.2020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 a partire da maggio 2020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  <w:tr w:rsidR="00083950" w:rsidRPr="005C309B" w:rsidTr="00083950">
        <w:trPr>
          <w:jc w:val="center"/>
        </w:trPr>
        <w:tc>
          <w:tcPr>
            <w:tcW w:w="5647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1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t xml:space="preserve">Versamenti 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eastAsia="it-IT"/>
              </w:rPr>
              <w:t xml:space="preserve">contributi previdenziali e assistenziali e premi INAIL 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t>scadenti tra il 2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eastAsia="it-IT"/>
              </w:rPr>
              <w:t>3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t>.2.2020 e il 3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eastAsia="it-IT"/>
              </w:rPr>
              <w:t>0.4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t>.2020 nei confronti dei soggetti con domicilio fiscale, sede legale o sede operativa nei Comuni di Bertonico, Casalpusterlengo, Castelgerundo, Castiglio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softHyphen/>
              <w:t>ne D’Adda, Codogno, Fombio, Maleo, San Fiorano, Soma</w:t>
            </w:r>
            <w:r w:rsidRPr="005C309B">
              <w:rPr>
                <w:rFonts w:ascii="Century Gothic" w:eastAsia="Arial" w:hAnsi="Century Gothic"/>
                <w:snapToGrid w:val="0"/>
                <w:spacing w:val="-1"/>
                <w:sz w:val="18"/>
                <w:szCs w:val="18"/>
                <w:lang w:val="" w:eastAsia="it-IT"/>
              </w:rPr>
              <w:softHyphen/>
              <w:t>glia, Terranova dei Passerini e Vo’.</w:t>
            </w:r>
          </w:p>
        </w:tc>
        <w:tc>
          <w:tcPr>
            <w:tcW w:w="1764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>1.5.2020 in unica soluzione o massi</w:t>
            </w: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softHyphen/>
              <w:t>mo 5 rate mensili di pari importo</w:t>
            </w:r>
          </w:p>
        </w:tc>
        <w:tc>
          <w:tcPr>
            <w:tcW w:w="2079" w:type="dxa"/>
            <w:shd w:val="clear" w:color="auto" w:fill="auto"/>
          </w:tcPr>
          <w:p w:rsidR="00083950" w:rsidRPr="005C309B" w:rsidRDefault="00083950" w:rsidP="003A1C75">
            <w:pPr>
              <w:widowControl w:val="0"/>
              <w:spacing w:before="40" w:after="10" w:line="240" w:lineRule="auto"/>
              <w:ind w:left="28" w:right="28"/>
              <w:jc w:val="both"/>
              <w:rPr>
                <w:rFonts w:ascii="Century Gothic" w:eastAsia="Times New Roman" w:hAnsi="Century Gothic"/>
                <w:snapToGrid w:val="0"/>
                <w:spacing w:val="-3"/>
                <w:sz w:val="18"/>
                <w:szCs w:val="18"/>
                <w:lang w:eastAsia="it-IT"/>
              </w:rPr>
            </w:pPr>
            <w:r w:rsidRPr="005C309B">
              <w:rPr>
                <w:rFonts w:ascii="Century Gothic" w:eastAsia="Arial" w:hAnsi="Century Gothic"/>
                <w:snapToGrid w:val="0"/>
                <w:spacing w:val="-3"/>
                <w:sz w:val="18"/>
                <w:szCs w:val="18"/>
                <w:lang w:eastAsia="it-IT"/>
              </w:rPr>
              <w:t xml:space="preserve">16.9.2020 in unica soluzione o 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t>massi</w:t>
            </w:r>
            <w:r w:rsidRPr="005C309B">
              <w:rPr>
                <w:rFonts w:ascii="Century Gothic" w:eastAsia="Arial" w:hAnsi="Century Gothic"/>
                <w:snapToGrid w:val="0"/>
                <w:spacing w:val="-5"/>
                <w:sz w:val="18"/>
                <w:szCs w:val="18"/>
                <w:lang w:eastAsia="it-IT"/>
              </w:rPr>
              <w:softHyphen/>
              <w:t>mo 4 rate mensili di pari importo a partire dal 16.9.2020</w:t>
            </w:r>
          </w:p>
        </w:tc>
      </w:tr>
    </w:tbl>
    <w:p w:rsidR="00083950" w:rsidRDefault="00083950" w:rsidP="00083950">
      <w:pPr>
        <w:spacing w:line="240" w:lineRule="auto"/>
        <w:jc w:val="both"/>
        <w:rPr>
          <w:rFonts w:ascii="Century Gothic" w:hAnsi="Century Gothic"/>
          <w:b/>
          <w:noProof/>
          <w:snapToGrid w:val="0"/>
          <w:sz w:val="20"/>
          <w:szCs w:val="20"/>
        </w:rPr>
      </w:pPr>
    </w:p>
    <w:p w:rsidR="005B5D38" w:rsidRDefault="005B5D38"/>
    <w:sectPr w:rsidR="005B5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50"/>
    <w:rsid w:val="00083950"/>
    <w:rsid w:val="005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F9E4-9A7A-4BC9-8C3E-D31E6D0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95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Filippa</dc:creator>
  <cp:keywords/>
  <dc:description/>
  <cp:lastModifiedBy>Eleonora Filippa</cp:lastModifiedBy>
  <cp:revision>1</cp:revision>
  <dcterms:created xsi:type="dcterms:W3CDTF">2020-05-21T14:49:00Z</dcterms:created>
  <dcterms:modified xsi:type="dcterms:W3CDTF">2020-05-21T14:52:00Z</dcterms:modified>
</cp:coreProperties>
</file>